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b/>
          <w:sz w:val="20"/>
        </w:rPr>
        <w:t>THE EXECUTIVE LEARNING PROJECT</w:t>
      </w:r>
    </w:p>
    <w:p>
      <w:pPr>
        <w:spacing w:after="180"/>
      </w:pPr>
      <w:r>
        <w:rPr>
          <w:color w:val="6F1028"/>
          <w:sz w:val="18"/>
        </w:rPr>
        <w:t>DIRECTOR ESSENTIALS</w:t>
      </w:r>
    </w:p>
    <w:p>
      <w:pPr>
        <w:pStyle w:val="Title"/>
      </w:pPr>
      <w:r>
        <w:t>Cyber Incident Checklist for Directors</w:t>
      </w:r>
    </w:p>
    <w:p>
      <w:pPr>
        <w:pStyle w:val="Heading1"/>
        <w:pageBreakBefore w:val="0"/>
      </w:pPr>
      <w:r>
        <w:t>Purpose and use</w:t>
      </w:r>
    </w:p>
    <w:p>
      <w:pPr>
        <w:keepLines w:val="0"/>
      </w:pPr>
      <w:r>
        <w:t>A cyber incident has been escalated. Management needs room to respond; directors need enough reliable information to oversee harm, critical decisions and accountability.</w:t>
      </w:r>
    </w:p>
    <w:p>
      <w:pPr>
        <w:keepLines w:val="0"/>
      </w:pPr>
      <w:r>
        <w:t>Use this checklist at the first board briefing on a potentially material incident, at significant changes, and through recovery. It supports - not replaces - the organisation's incident response plan. Management leads the operational response; the board oversees it and makes decisions reserved to it.</w:t>
      </w:r>
    </w:p>
    <w:p>
      <w:pPr>
        <w:pStyle w:val="Heading1"/>
        <w:pageBreakBefore w:val="0"/>
      </w:pPr>
      <w:r>
        <w:t>Establish control and priorities</w:t>
      </w:r>
    </w:p>
    <w:p>
      <w:pPr>
        <w:keepLines w:val="0"/>
      </w:pPr>
      <w:r>
        <w:t xml:space="preserve">[ ] </w:t>
      </w:r>
      <w:r>
        <w:rPr>
          <w:b/>
        </w:rPr>
        <w:t>Who is accountable?</w:t>
      </w:r>
      <w:r>
        <w:t xml:space="preserve"> Confirm the incident lead, executive sponsor, specialist support and board contact. Who can authorise urgent expenditure and business disruption, and what must return to the board?</w:t>
      </w:r>
    </w:p>
    <w:p>
      <w:pPr>
        <w:keepLines w:val="0"/>
      </w:pPr>
      <w:r>
        <w:t xml:space="preserve">[ ] </w:t>
      </w:r>
      <w:r>
        <w:rPr>
          <w:b/>
        </w:rPr>
        <w:t>Who or what is at risk?</w:t>
      </w:r>
      <w:r>
        <w:t xml:space="preserve"> Ask about people's safety, customer harm, essential services, sensitive information and financial exposure. Which consequences need attention before the full technical picture is known?</w:t>
      </w:r>
    </w:p>
    <w:p>
      <w:pPr>
        <w:keepLines w:val="0"/>
      </w:pPr>
      <w:r>
        <w:t xml:space="preserve">[ ] </w:t>
      </w:r>
      <w:r>
        <w:rPr>
          <w:b/>
        </w:rPr>
        <w:t>What do we actually know?</w:t>
      </w:r>
      <w:r>
        <w:t xml:space="preserve"> Separate verified facts, working assumptions and unanswered questions. Record when information was last checked. Absence of evidence of data theft is not assurance that none occurred.</w:t>
      </w:r>
    </w:p>
    <w:p>
      <w:pPr>
        <w:keepLines w:val="0"/>
      </w:pPr>
      <w:r>
        <w:t xml:space="preserve">[ ] </w:t>
      </w:r>
      <w:r>
        <w:rPr>
          <w:b/>
        </w:rPr>
        <w:t>How will we stay informed?</w:t>
      </w:r>
      <w:r>
        <w:t xml:space="preserve"> Agree a secure communication channel, briefing cadence and triggers for immediate escalation. Confirm an alternative if normal email or collaboration systems may be compromised.</w:t>
      </w:r>
    </w:p>
    <w:p>
      <w:pPr>
        <w:keepLines w:val="0"/>
      </w:pPr>
      <w:r>
        <w:t xml:space="preserve">Clear responsibilities, access to response resources, business continuity and stakeholder communications are central preparation themes in </w:t>
      </w:r>
      <w:hyperlink r:id="rId10">
        <w:r>
          <w:rPr>
            <w:color w:val="6F1028"/>
            <w:u w:val="single"/>
          </w:rPr>
          <w:t>ASD's executive guidance</w:t>
        </w:r>
      </w:hyperlink>
      <w:r>
        <w:t>.</w:t>
      </w:r>
    </w:p>
    <w:p>
      <w:pPr>
        <w:pStyle w:val="Heading1"/>
        <w:pageBreakBefore w:val="0"/>
      </w:pPr>
      <w:r>
        <w:t>Test decisions during the response</w:t>
      </w:r>
    </w:p>
    <w:p>
      <w:pPr>
        <w:keepLines w:val="0"/>
      </w:pPr>
      <w:r>
        <w:t xml:space="preserve">[ ] </w:t>
      </w:r>
      <w:r>
        <w:rPr>
          <w:b/>
        </w:rPr>
        <w:t>Is harm being contained?</w:t>
      </w:r>
      <w:r>
        <w:t xml:space="preserve"> Ask management to explain the options, trade-offs and likely consequences of service suspension, continued operation and recovery. What would cause the current approach to change?</w:t>
      </w:r>
    </w:p>
    <w:p>
      <w:pPr>
        <w:keepLines w:val="0"/>
      </w:pPr>
      <w:r>
        <w:t xml:space="preserve">[ ] </w:t>
      </w:r>
      <w:r>
        <w:rPr>
          <w:b/>
        </w:rPr>
        <w:t>Are evidence and records protected?</w:t>
      </w:r>
      <w:r>
        <w:t xml:space="preserve"> Confirm that qualified responders are directing evidence preservation alongside containment and recovery. Ask for a decision log recording advice, authority, reasons and unresolved risks. Do not direct deletion, rebuilding or forensic activity from the boardroom. See </w:t>
      </w:r>
      <w:hyperlink r:id="rId11">
        <w:r>
          <w:rPr>
            <w:color w:val="6F1028"/>
            <w:u w:val="single"/>
          </w:rPr>
          <w:t>ASD's practitioner guidance</w:t>
        </w:r>
      </w:hyperlink>
      <w:r>
        <w:t>.</w:t>
      </w:r>
    </w:p>
    <w:p>
      <w:pPr>
        <w:keepLines w:val="0"/>
      </w:pPr>
      <w:r>
        <w:t xml:space="preserve">[ ] </w:t>
      </w:r>
      <w:r>
        <w:rPr>
          <w:b/>
        </w:rPr>
        <w:t>Can the team sustain the response?</w:t>
      </w:r>
      <w:r>
        <w:t xml:space="preserve"> Check specialist capacity, staff fatigue, third-party dependencies and funding. What support or decision does management need from the board now?</w:t>
      </w:r>
    </w:p>
    <w:p>
      <w:pPr>
        <w:keepLines w:val="0"/>
      </w:pPr>
      <w:r>
        <w:t xml:space="preserve">[ ] </w:t>
      </w:r>
      <w:r>
        <w:rPr>
          <w:b/>
        </w:rPr>
        <w:t>Have insurance arrangements been checked?</w:t>
      </w:r>
      <w:r>
        <w:t xml:space="preserve"> Ask the responsible executive to obtain advice on policy notification, approved advisers, consent requirements and records. Do not assume coverage or wait for a final loss estimate before checking requirements.</w:t>
      </w:r>
    </w:p>
    <w:p>
      <w:pPr>
        <w:pStyle w:val="Heading1"/>
        <w:pageBreakBefore/>
      </w:pPr>
      <w:r>
        <w:t>Assign owners for obligations and communication</w:t>
      </w:r>
    </w:p>
    <w:p>
      <w:pPr>
        <w:keepLines w:val="0"/>
      </w:pPr>
      <w:r>
        <w:t xml:space="preserve">[ ] </w:t>
      </w:r>
      <w:r>
        <w:rPr>
          <w:b/>
        </w:rPr>
        <w:t>Who is mapping applicable duties?</w:t>
      </w:r>
      <w:r>
        <w:t xml:space="preserve"> Obtain prompt legal, privacy and regulatory advice. Request an obligations register showing each applicable requirement, trigger, deadline, owner and completion evidence. Consider affected jurisdictions, sector rules, contracts and market disclosure - not only privacy notification. ASIC notes that cyber events can raise reporting and public disclosure obligations: </w:t>
      </w:r>
      <w:hyperlink r:id="rId12">
        <w:r>
          <w:rPr>
            <w:color w:val="6F1028"/>
            <w:u w:val="single"/>
          </w:rPr>
          <w:t>ASIC's guidance on oversight and disclosure</w:t>
        </w:r>
      </w:hyperlink>
      <w:r>
        <w:t>.</w:t>
      </w:r>
    </w:p>
    <w:p>
      <w:pPr>
        <w:keepLines w:val="0"/>
      </w:pPr>
      <w:r>
        <w:t xml:space="preserve">[ ] </w:t>
      </w:r>
      <w:r>
        <w:rPr>
          <w:b/>
        </w:rPr>
        <w:t>Are different reporting duties being kept distinct?</w:t>
      </w:r>
      <w:r>
        <w:t xml:space="preserve"> The </w:t>
      </w:r>
      <w:hyperlink r:id="rId13">
        <w:r>
          <w:rPr>
            <w:color w:val="6F1028"/>
            <w:u w:val="single"/>
          </w:rPr>
          <w:t>OAIC's Notifiable Data Breaches guidance</w:t>
        </w:r>
      </w:hyperlink>
      <w:r>
        <w:t xml:space="preserve"> distinguishes assessment from notification. </w:t>
      </w:r>
      <w:hyperlink r:id="rId14">
        <w:r>
          <w:rPr>
            <w:color w:val="6F1028"/>
            <w:u w:val="single"/>
          </w:rPr>
          <w:t>Home Affairs' Cyber Security Act guidance</w:t>
        </w:r>
      </w:hyperlink>
      <w:r>
        <w:t xml:space="preserve"> identifies separate ransomware-payment reporting duties for certain businesses. Do not assume one deadline, one recipient or one report covers every obligation. This checklist does not advise making a payment.</w:t>
      </w:r>
    </w:p>
    <w:p>
      <w:pPr>
        <w:keepLines w:val="0"/>
      </w:pPr>
      <w:r>
        <w:t xml:space="preserve">[ ] </w:t>
      </w:r>
      <w:r>
        <w:rPr>
          <w:b/>
        </w:rPr>
        <w:t>Who needs practical help and accurate information?</w:t>
      </w:r>
      <w:r>
        <w:t xml:space="preserve"> Confirm communication ownership and approval arrangements for customers, staff, suppliers, authorities and other affected stakeholders. Distinguish confirmed impact from uncertainty; give useful protective steps where appropriate and explain when the next update will come. Avoid premature claims that the incident is resolved.</w:t>
      </w:r>
    </w:p>
    <w:p>
      <w:pPr>
        <w:pStyle w:val="Heading1"/>
        <w:pageBreakBefore w:val="0"/>
      </w:pPr>
      <w:r>
        <w:t>Require evidence before closure</w:t>
      </w:r>
    </w:p>
    <w:p>
      <w:pPr>
        <w:keepLines w:val="0"/>
      </w:pPr>
      <w:r>
        <w:t xml:space="preserve">[ ] </w:t>
      </w:r>
      <w:r>
        <w:rPr>
          <w:b/>
        </w:rPr>
        <w:t>What supports safe restoration?</w:t>
      </w:r>
      <w:r>
        <w:t xml:space="preserve"> Ask who has assessed recovery readiness, what testing supports it and what risks remain. Seek independent assurance where the seriousness or uncertainty warrants it.</w:t>
      </w:r>
    </w:p>
    <w:p>
      <w:pPr>
        <w:keepLines w:val="0"/>
      </w:pPr>
      <w:r>
        <w:t xml:space="preserve">[ ] </w:t>
      </w:r>
      <w:r>
        <w:rPr>
          <w:b/>
        </w:rPr>
        <w:t>What remains after services return?</w:t>
      </w:r>
      <w:r>
        <w:t xml:space="preserve"> Track affected-person support, outstanding obligations, financial impacts, monitoring and remediation. Restoring service is not the same as closing the incident.</w:t>
      </w:r>
    </w:p>
    <w:p>
      <w:pPr>
        <w:keepLines w:val="0"/>
      </w:pPr>
      <w:r>
        <w:t xml:space="preserve">[ ] </w:t>
      </w:r>
      <w:r>
        <w:rPr>
          <w:b/>
        </w:rPr>
        <w:t>What will change?</w:t>
      </w:r>
      <w:r>
        <w:t xml:space="preserve"> Commission a proportionate review of causes, decisions and preparedness. Assign an owner and completion date to each improvement; ask for evidence that material actions work, not just that they are marked complete.</w:t>
      </w:r>
    </w:p>
    <w:p>
      <w:pPr>
        <w:keepLines w:val="0"/>
      </w:pPr>
      <w:r>
        <w:rPr>
          <w:b/>
        </w:rPr>
        <w:t>Close each briefing with:</w:t>
      </w:r>
      <w:r>
        <w:t xml:space="preserve"> confirmed impact | material unknowns | decisions needed | accountable owners | next update and escalation triggers.</w:t>
      </w:r>
    </w:p>
    <w:p>
      <w:pPr>
        <w:keepLines w:val="0"/>
      </w:pPr>
      <w:r>
        <w:rPr>
          <w:b/>
        </w:rPr>
        <w:t>Limits:</w:t>
      </w:r>
      <w:r>
        <w:t xml:space="preserve"> General Australian-context governance prompts, not legal, insurance or technical advice, and not a complete compliance checklist. Adapt with qualified advisers to the entity and incident. Using this tool does not establish that obligations are satisfied.</w:t>
      </w:r>
    </w:p>
    <w:p>
      <w:pPr>
        <w:pStyle w:val="Heading1"/>
        <w:pageBreakBefore w:val="0"/>
      </w:pPr>
      <w:r>
        <w:t>Help improve this tool</w:t>
      </w:r>
    </w:p>
    <w:p>
      <w:pPr>
        <w:keepLines w:val="0"/>
      </w:pPr>
      <w:r>
        <w:t>Which question changed a decision? What was missing or impractical? Share only de-identified learning - never incident evidence, personal information or confidential board material.</w:t>
      </w:r>
    </w:p>
    <w:p>
      <w:pPr>
        <w:keepLines w:val="0"/>
      </w:pPr>
      <w:r>
        <w:rPr>
          <w:sz w:val="18"/>
        </w:rPr>
        <w:t>Version 0.1 | 22 October 2026 | Sources checked 22 October 2026</w:t>
      </w:r>
    </w:p>
    <w:sectPr w:rsidR="00FC693F" w:rsidRPr="0006063C" w:rsidSect="00034616">
      <w:footerReference w:type="default" r:id="rId9"/>
      <w:pgSz w:w="12240" w:h="15840"/>
      <w:pgMar w:top="1008" w:right="1152" w:bottom="936" w:left="1152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The Executive Learning Project  |  v0.1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5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80" w:line="245" w:lineRule="auto"/>
    </w:pPr>
    <w:rPr>
      <w:rFonts w:ascii="Arial" w:hAnsi="Arial"/>
      <w:color w:val="00000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45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 w:line="245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80" w:line="245" w:lineRule="auto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00" w:line="245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 w:line="245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cyber.gov.au/publication/cyber-security-incident-response-planning-executive-guidance" TargetMode="External"/><Relationship Id="rId11" Type="http://schemas.openxmlformats.org/officeDocument/2006/relationships/hyperlink" Target="https://www.cyber.gov.au/publication/cyber-security-incident-response-planning-practitioner-guidance" TargetMode="External"/><Relationship Id="rId12" Type="http://schemas.openxmlformats.org/officeDocument/2006/relationships/hyperlink" Target="https://www.asic.gov.au/about-asic/news-centre/articles/cyber-risk-be-prepared" TargetMode="External"/><Relationship Id="rId13" Type="http://schemas.openxmlformats.org/officeDocument/2006/relationships/hyperlink" Target="https://www.oaic.gov.au/privacy/notifiable-data-breaches/preventing-preparing-for-and-responding-to-data-breaches/data-breach-preparation-and-response/part-4-notifiable-data-breach-ndb-scheme" TargetMode="External"/><Relationship Id="rId14" Type="http://schemas.openxmlformats.org/officeDocument/2006/relationships/hyperlink" Target="https://www.homeaffairs.gov.au/cyber-security-subsite/Pages/cyber-security-act.aspx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Cyber Incident Checklist for Directors</dc:title>
  <dc:subject>Director Essentials educational practice tool</dc:subject>
  <dc:creator>The Executive Learning Project</dc:creator>
  <cp:keywords>Director Essentials</cp:keywords>
  <dc:description/>
  <cp:lastModifiedBy/>
  <cp:revision>1</cp:revision>
  <dcterms:created xsi:type="dcterms:W3CDTF">2026-10-22T00:00:00Z</dcterms:created>
  <dcterms:modified xsi:type="dcterms:W3CDTF">2026-10-22T00:00:00Z</dcterms:modified>
  <cp:category/>
</cp:coreProperties>
</file>